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“Good Losers are Pretty”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Aevee Bee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What is Point-of-View? </w:t>
      </w:r>
      <w:r w:rsidDel="00000000" w:rsidR="00000000" w:rsidRPr="00000000">
        <w:rPr>
          <w:rtl w:val="0"/>
        </w:rPr>
        <w:t xml:space="preserve"> Watch this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  <w:t xml:space="preserve"> to find 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What point-of-view is used in this story?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Circle one:</w:t>
        <w:tab/>
        <w:t xml:space="preserve">First Person </w:t>
        <w:tab/>
        <w:tab/>
        <w:t xml:space="preserve">Second Person</w:t>
        <w:tab/>
        <w:tab/>
        <w:t xml:space="preserve">Third Person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Circle one: </w:t>
        <w:tab/>
        <w:t xml:space="preserve">Objective</w:t>
        <w:tab/>
        <w:tab/>
        <w:t xml:space="preserve">Limited Omniscient</w:t>
        <w:tab/>
        <w:tab/>
        <w:t xml:space="preserve">Omniscient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After reading this story, take a moment to: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36"/>
                <w:szCs w:val="36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ff00ff"/>
                <w:sz w:val="36"/>
                <w:szCs w:val="36"/>
                <w:rtl w:val="0"/>
              </w:rPr>
              <w:t xml:space="preserve">R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36"/>
                <w:szCs w:val="36"/>
                <w:rtl w:val="0"/>
              </w:rPr>
              <w:t xml:space="preserve">espond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text-to-text, text-to-self, and text-to-world reactions can you apply to Pretty Monster’s point-of-view in this story?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36"/>
                <w:szCs w:val="36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ff00ff"/>
                <w:sz w:val="36"/>
                <w:szCs w:val="36"/>
                <w:rtl w:val="0"/>
              </w:rPr>
              <w:t xml:space="preserve">W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36"/>
                <w:szCs w:val="36"/>
                <w:rtl w:val="0"/>
              </w:rPr>
              <w:t xml:space="preserve">onder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questions could you pose about this character’s point-of-view?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36"/>
                <w:szCs w:val="36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color w:val="ff00ff"/>
                <w:sz w:val="36"/>
                <w:szCs w:val="36"/>
                <w:rtl w:val="0"/>
              </w:rPr>
              <w:t xml:space="preserve">L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36"/>
                <w:szCs w:val="36"/>
                <w:rtl w:val="0"/>
              </w:rPr>
              <w:t xml:space="preserve">earn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new things do you now know about point-of-view based on the experience of Pretty Monster?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Can a video game character’s point-of-view influence young children?  How can this be both a positive and negative thing?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chitects Daugh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sOVMM60Sm2c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