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After Reading Response for 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36"/>
          <w:szCs w:val="36"/>
          <w:rtl w:val="0"/>
        </w:rPr>
        <w:t xml:space="preserve">“The Hierarchy of Needs” and “Slow Leak”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chitects Daughter" w:cs="Architects Daughter" w:eastAsia="Architects Daughter" w:hAnsi="Architects Daughter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chitects Daughter" w:cs="Architects Daughter" w:eastAsia="Architects Daughter" w:hAnsi="Architects Daughter"/>
          <w:b w:val="1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b w:val="1"/>
          <w:sz w:val="28"/>
          <w:szCs w:val="28"/>
          <w:rtl w:val="0"/>
        </w:rPr>
        <w:t xml:space="preserve">Agree or Disagree (You must choose a side and include an example from each story):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The involvement in an alternative video game world causes safety issues for children.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Yes, I agree because...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No, I disagree because...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Architects Daughter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chitectsDaughter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